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A9" w:rsidRDefault="00AC7EA9">
      <w:pPr>
        <w:widowControl/>
        <w:spacing w:after="0"/>
        <w:rPr>
          <w:rFonts w:cs="Arial"/>
          <w:lang w:val="de-AT"/>
        </w:rPr>
      </w:pPr>
      <w:bookmarkStart w:id="0" w:name="_GoBack"/>
      <w:bookmarkEnd w:id="0"/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Stadt/Marktgemeinde/Gemeinde &gt;&gt; Name der Gemeinde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Personalvertretung</w:t>
      </w:r>
      <w:r>
        <w:rPr>
          <w:rFonts w:cs="Arial"/>
          <w:lang w:val="de-AT"/>
        </w:rPr>
        <w:t xml:space="preserve"> </w:t>
      </w: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Default="009C183D" w:rsidP="009C183D">
      <w:pPr>
        <w:widowControl/>
        <w:spacing w:after="0"/>
        <w:jc w:val="right"/>
        <w:rPr>
          <w:rFonts w:cs="Arial"/>
          <w:lang w:val="de-AT"/>
        </w:rPr>
      </w:pPr>
      <w:r w:rsidRPr="00DD2AFC">
        <w:rPr>
          <w:rFonts w:cs="Arial"/>
          <w:lang w:val="de-AT"/>
        </w:rPr>
        <w:t>&gt;&gt; Name der Gemeinde &lt;&lt;, am &gt;&gt; Datum &lt;&lt;</w:t>
      </w: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F33841" w:rsidRDefault="009C183D" w:rsidP="009C183D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Kundmachung</w:t>
      </w:r>
      <w:r w:rsidRPr="00F33841">
        <w:rPr>
          <w:b/>
          <w:sz w:val="28"/>
          <w:szCs w:val="28"/>
          <w:lang w:val="de-AT"/>
        </w:rPr>
        <w:br/>
        <w:t>über die Wahl eines Wahlvorstands</w:t>
      </w:r>
      <w:r w:rsidRPr="00F33841">
        <w:rPr>
          <w:b/>
          <w:sz w:val="28"/>
          <w:szCs w:val="28"/>
          <w:lang w:val="de-AT"/>
        </w:rPr>
        <w:br/>
        <w:t>für die Personalvertretungswahl &gt;&gt; Jahr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Bezug:</w:t>
      </w:r>
      <w:r>
        <w:rPr>
          <w:rFonts w:cs="Arial"/>
          <w:lang w:val="de-AT"/>
        </w:rPr>
        <w:t xml:space="preserve"> </w:t>
      </w:r>
      <w:r w:rsidRPr="00DD2AFC">
        <w:rPr>
          <w:rFonts w:cs="Arial"/>
          <w:lang w:val="de-AT"/>
        </w:rPr>
        <w:t>§ 23 Gemeinde-Personalvertretungs-Gesetz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 xml:space="preserve">In der Sitzung der Personalvertretung vom </w:t>
      </w:r>
      <w:r>
        <w:rPr>
          <w:rFonts w:cs="Arial"/>
          <w:lang w:val="de-AT"/>
        </w:rPr>
        <w:t xml:space="preserve">&gt;&gt; Datum &lt;&lt; </w:t>
      </w:r>
      <w:r w:rsidRPr="00DD2AFC">
        <w:rPr>
          <w:rFonts w:cs="Arial"/>
          <w:lang w:val="de-AT"/>
        </w:rPr>
        <w:t xml:space="preserve">wurde nachstehender Wahlvorstand zur Durchführung der Personalvertretungswahlen </w:t>
      </w:r>
      <w:r>
        <w:rPr>
          <w:rFonts w:cs="Arial"/>
          <w:lang w:val="de-AT"/>
        </w:rPr>
        <w:t xml:space="preserve">&gt;&gt; Jahr &lt;&lt; </w:t>
      </w:r>
      <w:r w:rsidRPr="00DD2AFC">
        <w:rPr>
          <w:rFonts w:cs="Arial"/>
          <w:lang w:val="de-AT"/>
        </w:rPr>
        <w:t>gewählt: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Mitglieder: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Ersatzmitglieder: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Der Obmann</w:t>
      </w:r>
      <w:r>
        <w:rPr>
          <w:rFonts w:cs="Arial"/>
          <w:lang w:val="de-AT"/>
        </w:rPr>
        <w:t>/die Obfrau der Personalvertretung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</w:p>
    <w:p w:rsidR="009C183D" w:rsidRPr="00DD2AFC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p w:rsidR="009C183D" w:rsidRDefault="009C183D" w:rsidP="009C183D">
      <w:pPr>
        <w:widowControl/>
        <w:spacing w:after="0"/>
        <w:rPr>
          <w:rFonts w:cs="Arial"/>
          <w:lang w:val="de-AT"/>
        </w:rPr>
      </w:pPr>
    </w:p>
    <w:sectPr w:rsidR="009C183D" w:rsidSect="00E70D1D">
      <w:footerReference w:type="default" r:id="rId9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9968"/>
      <w:docPartObj>
        <w:docPartGallery w:val="Page Numbers (Bottom of Page)"/>
        <w:docPartUnique/>
      </w:docPartObj>
    </w:sdtPr>
    <w:sdtEndPr/>
    <w:sdtContent>
      <w:p w:rsidR="009319CD" w:rsidRDefault="009319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BB">
          <w:rPr>
            <w:noProof/>
          </w:rPr>
          <w:t>1</w:t>
        </w:r>
        <w:r>
          <w:fldChar w:fldCharType="end"/>
        </w:r>
      </w:p>
    </w:sdtContent>
  </w:sdt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6121"/>
    <w:rsid w:val="001B42F0"/>
    <w:rsid w:val="001D6B89"/>
    <w:rsid w:val="001F55B6"/>
    <w:rsid w:val="00251906"/>
    <w:rsid w:val="002D45C8"/>
    <w:rsid w:val="002E0FE6"/>
    <w:rsid w:val="003011C5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AD78BB"/>
    <w:rsid w:val="00B563E8"/>
    <w:rsid w:val="00BA0753"/>
    <w:rsid w:val="00C266D3"/>
    <w:rsid w:val="00C534CA"/>
    <w:rsid w:val="00C83206"/>
    <w:rsid w:val="00CA1EBC"/>
    <w:rsid w:val="00CD5D3B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6CC2"/>
    <w:rsid w:val="00EA2631"/>
    <w:rsid w:val="00ED423A"/>
    <w:rsid w:val="00F02672"/>
    <w:rsid w:val="00F269BA"/>
    <w:rsid w:val="00F33841"/>
    <w:rsid w:val="00F36395"/>
    <w:rsid w:val="00F664A0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5C53-FB7B-47DD-B0D1-8FAE98BC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2017-01-10T16:20:00Z</dcterms:created>
  <dcterms:modified xsi:type="dcterms:W3CDTF">2017-01-10T16:28:00Z</dcterms:modified>
</cp:coreProperties>
</file>